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FC" w:rsidRPr="00D421FC" w:rsidRDefault="00D421FC" w:rsidP="00C46B92">
      <w:pPr>
        <w:shd w:val="clear" w:color="auto" w:fill="FFFFFF"/>
        <w:spacing w:after="120" w:line="240" w:lineRule="auto"/>
        <w:jc w:val="center"/>
        <w:outlineLvl w:val="2"/>
        <w:rPr>
          <w:rFonts w:ascii="Geneva" w:eastAsia="Times New Roman" w:hAnsi="Geneva" w:cs="Times New Roman"/>
          <w:b/>
          <w:bCs/>
          <w:color w:val="19191A"/>
          <w:sz w:val="27"/>
          <w:szCs w:val="27"/>
          <w:lang w:eastAsia="it-IT"/>
        </w:rPr>
      </w:pPr>
      <w:r w:rsidRPr="00D421FC">
        <w:rPr>
          <w:rFonts w:ascii="Geneva" w:eastAsia="Times New Roman" w:hAnsi="Geneva" w:cs="Times New Roman"/>
          <w:b/>
          <w:bCs/>
          <w:color w:val="19191A"/>
          <w:sz w:val="27"/>
          <w:szCs w:val="27"/>
          <w:lang w:eastAsia="it-IT"/>
        </w:rPr>
        <w:t>Comunicato al cittadino riguardante le denunce a mezzo PEC</w:t>
      </w:r>
    </w:p>
    <w:p w:rsidR="00D421FC" w:rsidRPr="00D421FC" w:rsidRDefault="00D421FC" w:rsidP="00D421FC">
      <w:pPr>
        <w:shd w:val="clear" w:color="auto" w:fill="FFFFFF"/>
        <w:spacing w:after="100" w:afterAutospacing="1" w:line="240" w:lineRule="auto"/>
        <w:rPr>
          <w:rFonts w:ascii="Geneva" w:eastAsia="Times New Roman" w:hAnsi="Geneva" w:cs="Times New Roman"/>
          <w:sz w:val="27"/>
          <w:szCs w:val="27"/>
          <w:lang w:eastAsia="it-IT"/>
        </w:rPr>
      </w:pPr>
      <w:r w:rsidRPr="00D421FC">
        <w:rPr>
          <w:rFonts w:ascii="Geneva" w:eastAsia="Times New Roman" w:hAnsi="Geneva" w:cs="Times New Roman"/>
          <w:sz w:val="27"/>
          <w:szCs w:val="27"/>
          <w:lang w:eastAsia="it-IT"/>
        </w:rPr>
        <w:t>Nel processo penale, la denuncia non può essere presentata tramite PEC (Posta Elettronica Certificata) dal privato cittadino. Questo perché l'articolo 240 del Codice di Procedura Penale, che disciplina le denunce, non prevede tale modalità di presentazione. La giurisprudenza, in particolare della Cassazione, ha più volte ribadito che la denuncia, nel processo penale, deve seguire le modalità previste dalla legge, che non includono la PEC per i privati. Pertanto, una denuncia presentata via PEC è considerata inammissibile.</w:t>
      </w:r>
      <w:r w:rsidRPr="00D421FC">
        <w:rPr>
          <w:rFonts w:ascii="Geneva" w:eastAsia="Times New Roman" w:hAnsi="Geneva" w:cs="Times New Roman"/>
          <w:sz w:val="27"/>
          <w:szCs w:val="27"/>
          <w:lang w:eastAsia="it-IT"/>
        </w:rPr>
        <w:br/>
      </w:r>
      <w:r w:rsidRPr="00D421FC">
        <w:rPr>
          <w:rFonts w:ascii="Geneva" w:eastAsia="Times New Roman" w:hAnsi="Geneva" w:cs="Times New Roman"/>
          <w:sz w:val="27"/>
          <w:szCs w:val="27"/>
          <w:lang w:eastAsia="it-IT"/>
        </w:rPr>
        <w:br/>
      </w:r>
      <w:r w:rsidRPr="00D421FC">
        <w:rPr>
          <w:rFonts w:ascii="Geneva" w:eastAsia="Times New Roman" w:hAnsi="Geneva" w:cs="Times New Roman"/>
          <w:sz w:val="27"/>
          <w:szCs w:val="27"/>
          <w:lang w:eastAsia="it-IT"/>
        </w:rPr>
        <w:br/>
        <w:t>PQM</w:t>
      </w:r>
      <w:bookmarkStart w:id="0" w:name="_GoBack"/>
      <w:bookmarkEnd w:id="0"/>
      <w:r w:rsidRPr="00D421FC">
        <w:rPr>
          <w:rFonts w:ascii="Geneva" w:eastAsia="Times New Roman" w:hAnsi="Geneva" w:cs="Times New Roman"/>
          <w:sz w:val="27"/>
          <w:szCs w:val="27"/>
          <w:lang w:eastAsia="it-IT"/>
        </w:rPr>
        <w:br/>
      </w:r>
      <w:r w:rsidRPr="00D421FC">
        <w:rPr>
          <w:rFonts w:ascii="Geneva" w:eastAsia="Times New Roman" w:hAnsi="Geneva" w:cs="Times New Roman"/>
          <w:sz w:val="27"/>
          <w:szCs w:val="27"/>
          <w:lang w:eastAsia="it-IT"/>
        </w:rPr>
        <w:br/>
      </w:r>
      <w:r w:rsidRPr="00D421FC">
        <w:rPr>
          <w:rFonts w:ascii="Geneva" w:eastAsia="Times New Roman" w:hAnsi="Geneva" w:cs="Times New Roman"/>
          <w:sz w:val="27"/>
          <w:szCs w:val="27"/>
          <w:lang w:eastAsia="it-IT"/>
        </w:rPr>
        <w:br/>
        <w:t>le istanze, gli esposti e le comunicazioni in genere dirette a questa Procura, non possono essere ritenute ricevibili se trasmesse via e-mail, non garantendo tale strumento di comunicazione la piena, immediata e certa identificazione della fonte di provenienza.</w:t>
      </w:r>
      <w:r w:rsidRPr="00D421FC">
        <w:rPr>
          <w:rFonts w:ascii="Geneva" w:eastAsia="Times New Roman" w:hAnsi="Geneva" w:cs="Times New Roman"/>
          <w:sz w:val="27"/>
          <w:szCs w:val="27"/>
          <w:lang w:eastAsia="it-IT"/>
        </w:rPr>
        <w:br/>
      </w:r>
      <w:r w:rsidRPr="00D421FC">
        <w:rPr>
          <w:rFonts w:ascii="Geneva" w:eastAsia="Times New Roman" w:hAnsi="Geneva" w:cs="Times New Roman"/>
          <w:sz w:val="27"/>
          <w:szCs w:val="27"/>
          <w:lang w:eastAsia="it-IT"/>
        </w:rPr>
        <w:br/>
      </w:r>
      <w:proofErr w:type="spellStart"/>
      <w:r w:rsidRPr="00D421FC">
        <w:rPr>
          <w:rFonts w:ascii="Geneva" w:eastAsia="Times New Roman" w:hAnsi="Geneva" w:cs="Times New Roman"/>
          <w:sz w:val="27"/>
          <w:szCs w:val="27"/>
          <w:lang w:eastAsia="it-IT"/>
        </w:rPr>
        <w:t>lnvero</w:t>
      </w:r>
      <w:proofErr w:type="spellEnd"/>
      <w:r w:rsidRPr="00D421FC">
        <w:rPr>
          <w:rFonts w:ascii="Geneva" w:eastAsia="Times New Roman" w:hAnsi="Geneva" w:cs="Times New Roman"/>
          <w:sz w:val="27"/>
          <w:szCs w:val="27"/>
          <w:lang w:eastAsia="it-IT"/>
        </w:rPr>
        <w:t xml:space="preserve"> la giurisprudenza costante chiarisce  che le denunzie giunte via PEC sono assimilabili a denunzie anonime perché non vi è certezza sulla identità del mittente: "Ma poiché non hanno valore né possono essere utilizzati gli scritti anonimi, e tali sono quelli provenienti da persona la cui identità non sia certa, la denuncia o querela o istanza non possono essere inviate per via telematica» </w:t>
      </w:r>
      <w:r w:rsidRPr="00D421FC">
        <w:rPr>
          <w:rFonts w:ascii="Geneva" w:eastAsia="Times New Roman" w:hAnsi="Geneva" w:cs="Times New Roman"/>
          <w:sz w:val="27"/>
          <w:szCs w:val="27"/>
          <w:lang w:eastAsia="it-IT"/>
        </w:rPr>
        <w:br/>
        <w:t>Ancora si condivide</w:t>
      </w:r>
      <w:r>
        <w:rPr>
          <w:rFonts w:ascii="Geneva" w:eastAsia="Times New Roman" w:hAnsi="Geneva" w:cs="Times New Roman"/>
          <w:sz w:val="27"/>
          <w:szCs w:val="27"/>
          <w:lang w:eastAsia="it-IT"/>
        </w:rPr>
        <w:t xml:space="preserve"> l’orientamento per  cui</w:t>
      </w:r>
      <w:r w:rsidRPr="00D421FC">
        <w:rPr>
          <w:rFonts w:ascii="Geneva" w:eastAsia="Times New Roman" w:hAnsi="Geneva" w:cs="Times New Roman"/>
          <w:sz w:val="27"/>
          <w:szCs w:val="27"/>
          <w:lang w:eastAsia="it-IT"/>
        </w:rPr>
        <w:t xml:space="preserve">: «Si rende noto che le denunce e/o querele inviate a questa Procura della Repubblica da parte di privati cittadini attraverso messaggi di posta elettronica, ordinaria o certificata, non sono validamente presentate e non produrranno alcun effetto giuridico, non rispondendo ai requisiti fissati dagli artt.333,336 e 337 </w:t>
      </w:r>
      <w:proofErr w:type="spellStart"/>
      <w:r w:rsidRPr="00D421FC">
        <w:rPr>
          <w:rFonts w:ascii="Geneva" w:eastAsia="Times New Roman" w:hAnsi="Geneva" w:cs="Times New Roman"/>
          <w:sz w:val="27"/>
          <w:szCs w:val="27"/>
          <w:lang w:eastAsia="it-IT"/>
        </w:rPr>
        <w:t>c.p'p</w:t>
      </w:r>
      <w:proofErr w:type="spellEnd"/>
      <w:r w:rsidRPr="00D421FC">
        <w:rPr>
          <w:rFonts w:ascii="Geneva" w:eastAsia="Times New Roman" w:hAnsi="Geneva" w:cs="Times New Roman"/>
          <w:sz w:val="27"/>
          <w:szCs w:val="27"/>
          <w:lang w:eastAsia="it-IT"/>
        </w:rPr>
        <w:t>'»</w:t>
      </w:r>
      <w:r w:rsidRPr="00D421FC">
        <w:rPr>
          <w:rFonts w:ascii="Geneva" w:eastAsia="Times New Roman" w:hAnsi="Geneva" w:cs="Times New Roman"/>
          <w:sz w:val="27"/>
          <w:szCs w:val="27"/>
          <w:lang w:eastAsia="it-IT"/>
        </w:rPr>
        <w:br/>
      </w:r>
      <w:r w:rsidRPr="00D421FC">
        <w:rPr>
          <w:rFonts w:ascii="Geneva" w:eastAsia="Times New Roman" w:hAnsi="Geneva" w:cs="Times New Roman"/>
          <w:sz w:val="27"/>
          <w:szCs w:val="27"/>
          <w:lang w:eastAsia="it-IT"/>
        </w:rPr>
        <w:br/>
        <w:t>Per tanto si dispone che gli atti giunti tramite il suddetto sistema siano considerati inammissibili e come tali non iscrivibili.</w:t>
      </w:r>
    </w:p>
    <w:p w:rsidR="005267B7" w:rsidRDefault="005267B7"/>
    <w:sectPr w:rsidR="005267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FC"/>
    <w:rsid w:val="005267B7"/>
    <w:rsid w:val="00C46B92"/>
    <w:rsid w:val="00D42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47A1"/>
  <w15:chartTrackingRefBased/>
  <w15:docId w15:val="{F272EE4A-99B9-4211-8FB8-F43F0164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D421F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421F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D421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421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1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Pompei</dc:creator>
  <cp:keywords/>
  <dc:description/>
  <cp:lastModifiedBy>Antonio Pompei</cp:lastModifiedBy>
  <cp:revision>2</cp:revision>
  <dcterms:created xsi:type="dcterms:W3CDTF">2025-08-13T10:14:00Z</dcterms:created>
  <dcterms:modified xsi:type="dcterms:W3CDTF">2025-08-13T10:17:00Z</dcterms:modified>
</cp:coreProperties>
</file>